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90" w:rsidRPr="00CB0090" w:rsidRDefault="00CB0090" w:rsidP="00CB0090">
      <w:pPr>
        <w:spacing w:after="150" w:line="330" w:lineRule="atLeast"/>
        <w:textAlignment w:val="baseline"/>
        <w:rPr>
          <w:rFonts w:ascii="Roboto" w:eastAsia="Times New Roman" w:hAnsi="Roboto" w:cs="Times New Roman"/>
          <w:color w:val="000000"/>
          <w:sz w:val="24"/>
          <w:szCs w:val="24"/>
          <w:lang w:eastAsia="tr-TR"/>
        </w:rPr>
      </w:pPr>
    </w:p>
    <w:p w:rsidR="00CB0090" w:rsidRPr="00CB0090" w:rsidRDefault="00CB0090" w:rsidP="00CB0090">
      <w:pPr>
        <w:spacing w:after="0" w:line="360" w:lineRule="atLeast"/>
        <w:textAlignment w:val="baseline"/>
        <w:rPr>
          <w:rFonts w:ascii="Roboto" w:eastAsia="Times New Roman" w:hAnsi="Roboto" w:cs="Times New Roman"/>
          <w:color w:val="000000"/>
          <w:sz w:val="24"/>
          <w:szCs w:val="24"/>
          <w:lang w:eastAsia="tr-TR"/>
        </w:rPr>
      </w:pPr>
      <w:hyperlink r:id="rId4" w:history="1">
        <w:r w:rsidRPr="00CB0090">
          <w:rPr>
            <w:rFonts w:ascii="Roboto" w:eastAsia="Times New Roman" w:hAnsi="Roboto" w:cs="Times New Roman"/>
            <w:b/>
            <w:bCs/>
            <w:color w:val="000000"/>
            <w:sz w:val="24"/>
            <w:szCs w:val="24"/>
            <w:lang w:eastAsia="tr-TR"/>
          </w:rPr>
          <w:t>2026 yılı Usulsüzlük ve Özel Usulsüzlük Cezaları</w:t>
        </w:r>
      </w:hyperlink>
      <w:r w:rsidRPr="00CB0090">
        <w:rPr>
          <w:rFonts w:ascii="Roboto" w:eastAsia="Times New Roman" w:hAnsi="Roboto" w:cs="Times New Roman"/>
          <w:color w:val="000000"/>
          <w:sz w:val="24"/>
          <w:szCs w:val="24"/>
          <w:lang w:eastAsia="tr-TR"/>
        </w:rPr>
        <w:t xml:space="preserve"> VUK 588 Seri </w:t>
      </w:r>
      <w:proofErr w:type="spellStart"/>
      <w:r w:rsidRPr="00CB0090">
        <w:rPr>
          <w:rFonts w:ascii="Roboto" w:eastAsia="Times New Roman" w:hAnsi="Roboto" w:cs="Times New Roman"/>
          <w:color w:val="000000"/>
          <w:sz w:val="24"/>
          <w:szCs w:val="24"/>
          <w:lang w:eastAsia="tr-TR"/>
        </w:rPr>
        <w:t>Nolu</w:t>
      </w:r>
      <w:proofErr w:type="spellEnd"/>
      <w:r w:rsidRPr="00CB0090">
        <w:rPr>
          <w:rFonts w:ascii="Roboto" w:eastAsia="Times New Roman" w:hAnsi="Roboto" w:cs="Times New Roman"/>
          <w:color w:val="000000"/>
          <w:sz w:val="24"/>
          <w:szCs w:val="24"/>
          <w:lang w:eastAsia="tr-TR"/>
        </w:rPr>
        <w:t xml:space="preserve"> Genel Tebliği maddelerine göre düzenlenmiştir. Cezaların tutarları aşağıdaki 2026 Usulsüzlük Cezalarına Ait Cetvelde yer almaktadır. Mükellef gruplarına göre tutarlarda farklılıklar bulunmaktadır.</w:t>
      </w:r>
    </w:p>
    <w:p w:rsidR="00CB0090" w:rsidRPr="00CB0090" w:rsidRDefault="00CB0090" w:rsidP="00CB0090">
      <w:pPr>
        <w:spacing w:before="75" w:after="270" w:line="360" w:lineRule="atLeast"/>
        <w:textAlignment w:val="baseline"/>
        <w:rPr>
          <w:rFonts w:ascii="Roboto" w:eastAsia="Times New Roman" w:hAnsi="Roboto" w:cs="Times New Roman"/>
          <w:color w:val="000000"/>
          <w:sz w:val="24"/>
          <w:szCs w:val="24"/>
          <w:lang w:eastAsia="tr-TR"/>
        </w:rPr>
      </w:pPr>
      <w:r w:rsidRPr="00CB0090">
        <w:rPr>
          <w:rFonts w:ascii="Roboto" w:eastAsia="Times New Roman" w:hAnsi="Roboto" w:cs="Times New Roman"/>
          <w:color w:val="000000"/>
          <w:sz w:val="24"/>
          <w:szCs w:val="24"/>
          <w:lang w:eastAsia="tr-TR"/>
        </w:rPr>
        <w:t>VUK Genel Tebliği (Sıra No:588) 31 Aralık 2025 tarihli 5. Mükerrer Resmi Gazete'de yayınlanmıştır.</w:t>
      </w:r>
    </w:p>
    <w:p w:rsidR="00CB0090" w:rsidRPr="00CB0090" w:rsidRDefault="00CB0090" w:rsidP="00CB0090">
      <w:pPr>
        <w:spacing w:before="375" w:after="270" w:line="435" w:lineRule="atLeast"/>
        <w:textAlignment w:val="baseline"/>
        <w:outlineLvl w:val="1"/>
        <w:rPr>
          <w:rFonts w:ascii="Roboto" w:eastAsia="Times New Roman" w:hAnsi="Roboto" w:cs="Times New Roman"/>
          <w:b/>
          <w:bCs/>
          <w:color w:val="000000"/>
          <w:sz w:val="35"/>
          <w:szCs w:val="35"/>
          <w:lang w:eastAsia="tr-TR"/>
        </w:rPr>
      </w:pPr>
      <w:r w:rsidRPr="00CB0090">
        <w:rPr>
          <w:rFonts w:ascii="Roboto" w:eastAsia="Times New Roman" w:hAnsi="Roboto" w:cs="Times New Roman"/>
          <w:b/>
          <w:bCs/>
          <w:color w:val="000000"/>
          <w:sz w:val="35"/>
          <w:szCs w:val="35"/>
          <w:lang w:eastAsia="tr-TR"/>
        </w:rPr>
        <w:t>2026 YILI USULSÜZLÜK CEZALARINA AİT TABLO</w:t>
      </w:r>
    </w:p>
    <w:tbl>
      <w:tblPr>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9104"/>
        <w:gridCol w:w="1513"/>
      </w:tblGrid>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hyperlink r:id="rId5" w:history="1">
              <w:r w:rsidRPr="00CB0090">
                <w:rPr>
                  <w:rFonts w:ascii="Times New Roman" w:eastAsia="Times New Roman" w:hAnsi="Times New Roman" w:cs="Times New Roman"/>
                  <w:b/>
                  <w:bCs/>
                  <w:color w:val="000000"/>
                  <w:sz w:val="24"/>
                  <w:szCs w:val="24"/>
                  <w:lang w:eastAsia="tr-TR"/>
                </w:rPr>
                <w:t>1. DERECE USULSÜZLÜKLER</w:t>
              </w:r>
            </w:hyperlink>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Tutar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 Sermaye şirketleri</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Sermaye şirketi dışında kalan birinci sınıf tüccarlar ve serbest meslek erbabı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17.000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3 - İkinci sınıf tüccarlar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8.700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4- Yukarıdakiler dışında kalıp beyanname usulüyle gelir vergisine tabi olanlar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6.000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5- Kazancı basit usulde tespit edilenler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4.000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6- Gelir vergisinden muaf esnaf</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2.600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2. DERECE USULSÜZLÜKLER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 Sermaye şirketleri</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17.000 TL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Sermaye şirketi dışında kalan birinci sınıf tüccarlar ve serbest meslek erbabı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8.700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3 - İkinci sınıf tüccarlar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6.000 TL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4- Yukarıdakiler dışında kalıp beyanname usulüyle gelir vergisine tabi olanlar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4.000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5- Kazancı basit usulde tespit edilenler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2.600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6- Gelir vergisinden muaf esnaf</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1.700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b/>
                <w:bCs/>
                <w:sz w:val="24"/>
                <w:szCs w:val="24"/>
                <w:lang w:eastAsia="tr-TR"/>
              </w:rPr>
              <w:t>ÖZEL USULSÜZLÜK</w:t>
            </w:r>
          </w:p>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Fatura ve benzeri evrak verilmemesi ve alınmaması ile diğer şekil ve usul hükümlerine uyulmaması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ind w:right="-380"/>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1- Elektronik belge olarak düzenlenmesi gerekenler de </w:t>
            </w:r>
            <w:proofErr w:type="gramStart"/>
            <w:r w:rsidRPr="00CB0090">
              <w:rPr>
                <w:rFonts w:ascii="Times New Roman" w:eastAsia="Times New Roman" w:hAnsi="Times New Roman" w:cs="Times New Roman"/>
                <w:sz w:val="24"/>
                <w:szCs w:val="24"/>
                <w:lang w:eastAsia="tr-TR"/>
              </w:rPr>
              <w:t>dahil</w:t>
            </w:r>
            <w:proofErr w:type="gramEnd"/>
            <w:r w:rsidRPr="00CB0090">
              <w:rPr>
                <w:rFonts w:ascii="Times New Roman" w:eastAsia="Times New Roman" w:hAnsi="Times New Roman" w:cs="Times New Roman"/>
                <w:sz w:val="24"/>
                <w:szCs w:val="24"/>
                <w:lang w:eastAsia="tr-TR"/>
              </w:rPr>
              <w:t xml:space="preserve"> olmak üzere fatura, gider pusulası, müstahsil makbuzu, serbest meslek makbuzu verilmemesi, alınmaması, bu belgelerde gerçek meblağdan farklı meblağlara yer verilmesi, bu belgelerin elektronik belge olarak düzenlenmesi gerekirken kağıt olarak düzenlenmesi, bu belgelerin hiç düzenlenmemiş sayılması</w:t>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lastRenderedPageBreak/>
              <w:br/>
              <w:t>1. Tespit</w:t>
            </w:r>
            <w:r w:rsidRPr="00CB0090">
              <w:rPr>
                <w:rFonts w:ascii="Times New Roman" w:eastAsia="Times New Roman" w:hAnsi="Times New Roman" w:cs="Times New Roman"/>
                <w:sz w:val="24"/>
                <w:szCs w:val="24"/>
                <w:lang w:eastAsia="tr-TR"/>
              </w:rPr>
              <w:br/>
              <w:t> - Bir takvim yılı içinde her bir belge nevine ilişkin olarak kesilecek toplam ceza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lastRenderedPageBreak/>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b/>
                <w:bCs/>
                <w:sz w:val="24"/>
                <w:szCs w:val="24"/>
                <w:lang w:eastAsia="tr-TR"/>
              </w:rPr>
              <w:lastRenderedPageBreak/>
              <w:t>17.000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17.000.000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lastRenderedPageBreak/>
              <w:t>Kanuna bağlı 2 sayılı cetvel</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Asgari</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Tespit</w:t>
            </w:r>
            <w:r w:rsidRPr="00CB0090">
              <w:rPr>
                <w:rFonts w:ascii="Times New Roman" w:eastAsia="Times New Roman" w:hAnsi="Times New Roman" w:cs="Times New Roman"/>
                <w:sz w:val="24"/>
                <w:szCs w:val="24"/>
                <w:lang w:eastAsia="tr-TR"/>
              </w:rPr>
              <w:br/>
              <w:t>3. Tespit</w:t>
            </w:r>
            <w:r w:rsidRPr="00CB0090">
              <w:rPr>
                <w:rFonts w:ascii="Times New Roman" w:eastAsia="Times New Roman" w:hAnsi="Times New Roman" w:cs="Times New Roman"/>
                <w:sz w:val="24"/>
                <w:szCs w:val="24"/>
                <w:lang w:eastAsia="tr-TR"/>
              </w:rPr>
              <w:br/>
              <w:t>4. Tespit</w:t>
            </w:r>
            <w:r w:rsidRPr="00CB0090">
              <w:rPr>
                <w:rFonts w:ascii="Times New Roman" w:eastAsia="Times New Roman" w:hAnsi="Times New Roman" w:cs="Times New Roman"/>
                <w:sz w:val="24"/>
                <w:szCs w:val="24"/>
                <w:lang w:eastAsia="tr-TR"/>
              </w:rPr>
              <w:br/>
              <w:t>5. Tespit</w:t>
            </w:r>
            <w:r w:rsidRPr="00CB0090">
              <w:rPr>
                <w:rFonts w:ascii="Times New Roman" w:eastAsia="Times New Roman" w:hAnsi="Times New Roman" w:cs="Times New Roman"/>
                <w:sz w:val="24"/>
                <w:szCs w:val="24"/>
                <w:lang w:eastAsia="tr-TR"/>
              </w:rPr>
              <w:br/>
              <w:t>6. ve Sonraki Tespitler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53.000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70.000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87.000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170.000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w:t>
            </w:r>
            <w:r w:rsidRPr="00CB0090">
              <w:rPr>
                <w:rFonts w:ascii="Times New Roman" w:eastAsia="Times New Roman" w:hAnsi="Times New Roman" w:cs="Times New Roman"/>
                <w:b/>
                <w:bCs/>
                <w:sz w:val="24"/>
                <w:szCs w:val="24"/>
                <w:lang w:eastAsia="tr-TR"/>
              </w:rPr>
              <w:t>-</w:t>
            </w:r>
            <w:r w:rsidRPr="00CB0090">
              <w:rPr>
                <w:rFonts w:ascii="Times New Roman" w:eastAsia="Times New Roman" w:hAnsi="Times New Roman" w:cs="Times New Roman"/>
                <w:sz w:val="24"/>
                <w:szCs w:val="24"/>
                <w:lang w:eastAsia="tr-TR"/>
              </w:rPr>
              <w:t xml:space="preserve"> Elektronik belge olarak düzenlenmesi gerekenler de </w:t>
            </w:r>
            <w:proofErr w:type="gramStart"/>
            <w:r w:rsidRPr="00CB0090">
              <w:rPr>
                <w:rFonts w:ascii="Times New Roman" w:eastAsia="Times New Roman" w:hAnsi="Times New Roman" w:cs="Times New Roman"/>
                <w:sz w:val="24"/>
                <w:szCs w:val="24"/>
                <w:lang w:eastAsia="tr-TR"/>
              </w:rPr>
              <w:t>dahil</w:t>
            </w:r>
            <w:proofErr w:type="gramEnd"/>
            <w:r w:rsidRPr="00CB0090">
              <w:rPr>
                <w:rFonts w:ascii="Times New Roman" w:eastAsia="Times New Roman" w:hAnsi="Times New Roman" w:cs="Times New Roman"/>
                <w:sz w:val="24"/>
                <w:szCs w:val="24"/>
                <w:lang w:eastAsia="tr-TR"/>
              </w:rPr>
              <w:t xml:space="preserve"> olmak üzere perakende satış fişi, ödeme kaydedici cihaz fişi,   giriş ve yolcu taşıma bileti, sevk irsaliyesi, taşıma  irsaliyesi, yolcu listesi, günlük müşteri listesi ile Maliye Bakanlığınca düzenleme zorunluluğu getirilen belgelerin düzenlenmemesi,  kullanılmaması veya bulundurulmaması, aslı ile öreğinde farklı meblağlara yer verilmesi, gerçeğe aykırı olarak düzenlenmesi, elektronik belge olarak düzenlenmesi gerekirken kağıt olarak düzenlenmesi, hiç düzenlenmemiş sayılması</w:t>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t>1. Tespit</w:t>
            </w:r>
            <w:r w:rsidRPr="00CB0090">
              <w:rPr>
                <w:rFonts w:ascii="Times New Roman" w:eastAsia="Times New Roman" w:hAnsi="Times New Roman" w:cs="Times New Roman"/>
                <w:sz w:val="24"/>
                <w:szCs w:val="24"/>
                <w:lang w:eastAsia="tr-TR"/>
              </w:rPr>
              <w:br/>
              <w:t xml:space="preserve">- Her bir belge </w:t>
            </w:r>
            <w:proofErr w:type="spellStart"/>
            <w:r w:rsidRPr="00CB0090">
              <w:rPr>
                <w:rFonts w:ascii="Times New Roman" w:eastAsia="Times New Roman" w:hAnsi="Times New Roman" w:cs="Times New Roman"/>
                <w:sz w:val="24"/>
                <w:szCs w:val="24"/>
                <w:lang w:eastAsia="tr-TR"/>
              </w:rPr>
              <w:t>nev’ine</w:t>
            </w:r>
            <w:proofErr w:type="spellEnd"/>
            <w:r w:rsidRPr="00CB0090">
              <w:rPr>
                <w:rFonts w:ascii="Times New Roman" w:eastAsia="Times New Roman" w:hAnsi="Times New Roman" w:cs="Times New Roman"/>
                <w:sz w:val="24"/>
                <w:szCs w:val="24"/>
                <w:lang w:eastAsia="tr-TR"/>
              </w:rPr>
              <w:t xml:space="preserve"> ilişkin olarak her bir tespit için  toplam ceza</w:t>
            </w:r>
            <w:r w:rsidRPr="00CB0090">
              <w:rPr>
                <w:rFonts w:ascii="Times New Roman" w:eastAsia="Times New Roman" w:hAnsi="Times New Roman" w:cs="Times New Roman"/>
                <w:sz w:val="24"/>
                <w:szCs w:val="24"/>
                <w:lang w:eastAsia="tr-TR"/>
              </w:rPr>
              <w:br/>
              <w:t xml:space="preserve">- Her bir belge </w:t>
            </w:r>
            <w:proofErr w:type="spellStart"/>
            <w:r w:rsidRPr="00CB0090">
              <w:rPr>
                <w:rFonts w:ascii="Times New Roman" w:eastAsia="Times New Roman" w:hAnsi="Times New Roman" w:cs="Times New Roman"/>
                <w:sz w:val="24"/>
                <w:szCs w:val="24"/>
                <w:lang w:eastAsia="tr-TR"/>
              </w:rPr>
              <w:t>nev’ine</w:t>
            </w:r>
            <w:proofErr w:type="spellEnd"/>
            <w:r w:rsidRPr="00CB0090">
              <w:rPr>
                <w:rFonts w:ascii="Times New Roman" w:eastAsia="Times New Roman" w:hAnsi="Times New Roman" w:cs="Times New Roman"/>
                <w:sz w:val="24"/>
                <w:szCs w:val="24"/>
                <w:lang w:eastAsia="tr-TR"/>
              </w:rPr>
              <w:t xml:space="preserve"> ilişkin bir takvim yılı içinde kesilecek toplam ceza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b/>
                <w:bCs/>
                <w:sz w:val="24"/>
                <w:szCs w:val="24"/>
                <w:lang w:eastAsia="tr-TR"/>
              </w:rPr>
              <w:t>17.000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1.700.000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17.000.000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Kanuna bağlı 2 sayılı cetvel</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Tespit</w:t>
            </w:r>
            <w:r w:rsidRPr="00CB0090">
              <w:rPr>
                <w:rFonts w:ascii="Times New Roman" w:eastAsia="Times New Roman" w:hAnsi="Times New Roman" w:cs="Times New Roman"/>
                <w:sz w:val="24"/>
                <w:szCs w:val="24"/>
                <w:lang w:eastAsia="tr-TR"/>
              </w:rPr>
              <w:br/>
              <w:t>3. Tespit</w:t>
            </w:r>
            <w:r w:rsidRPr="00CB0090">
              <w:rPr>
                <w:rFonts w:ascii="Times New Roman" w:eastAsia="Times New Roman" w:hAnsi="Times New Roman" w:cs="Times New Roman"/>
                <w:sz w:val="24"/>
                <w:szCs w:val="24"/>
                <w:lang w:eastAsia="tr-TR"/>
              </w:rPr>
              <w:br/>
              <w:t>4. Tespit</w:t>
            </w:r>
            <w:r w:rsidRPr="00CB0090">
              <w:rPr>
                <w:rFonts w:ascii="Times New Roman" w:eastAsia="Times New Roman" w:hAnsi="Times New Roman" w:cs="Times New Roman"/>
                <w:sz w:val="24"/>
                <w:szCs w:val="24"/>
                <w:lang w:eastAsia="tr-TR"/>
              </w:rPr>
              <w:br/>
              <w:t>5. Tespit</w:t>
            </w:r>
            <w:r w:rsidRPr="00CB0090">
              <w:rPr>
                <w:rFonts w:ascii="Times New Roman" w:eastAsia="Times New Roman" w:hAnsi="Times New Roman" w:cs="Times New Roman"/>
                <w:sz w:val="24"/>
                <w:szCs w:val="24"/>
                <w:lang w:eastAsia="tr-TR"/>
              </w:rPr>
              <w:br/>
              <w:t>6. ve Sonraki Tespitler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53.000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70.000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87.000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170.000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3- 232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maddenin birinci fıkrasının 1 ila 5 numaralı bentlerinde sayılanlar dışında kalan kişilerin fatura, gider pusulası, müstahsil makbuzu, serbest meslek makbuzu, perakende satış fişi, ödeme kaydedici cihaz fişi ve giriş ve yolcu taşıma biletlerini almaması</w:t>
            </w:r>
            <w:r w:rsidRPr="00CB0090">
              <w:rPr>
                <w:rFonts w:ascii="Times New Roman" w:eastAsia="Times New Roman" w:hAnsi="Times New Roman" w:cs="Times New Roman"/>
                <w:sz w:val="24"/>
                <w:szCs w:val="24"/>
                <w:lang w:eastAsia="tr-TR"/>
              </w:rPr>
              <w:br/>
              <w:t>- Bir takvim yılı içinde kesilecek toplam ceza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8.700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87.000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4- Hazine ve Maliye Bakanlığınca tutulma ve günü gününe kayıt edilme mecburiyeti getirilen defterlerin; bulundurulmaması, günü gününe kayıt yapılmaması, yetkililere ibraz edilmemesi ile levha bulundurma ve asma mecburiyetine uyulmaması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6- Belirlenen muhasebe standartlarına, tek düzen  hesap planına ve mali tablolara ilişkin usul ve esaslar ile muhasebeye yönelik bilgisayar programlarının üretilmesine ilişkin kural ve standartlara uymayanlara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110.000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7- Kamu kurum ve kuruluşları ile gerçek ve tüzel  kişilerce yapılacak işlemlerde kullanılma zorunluluğu getirilen vergi numarasını kullanmaksızın işlem yapanlara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lastRenderedPageBreak/>
              <w:t>8- Belge basımı ile ilgili bildirim görevini tamamen veya kısmen yerine getirmeyen matbaa işletmecilerine</w:t>
            </w:r>
            <w:r w:rsidRPr="00CB0090">
              <w:rPr>
                <w:rFonts w:ascii="Times New Roman" w:eastAsia="Times New Roman" w:hAnsi="Times New Roman" w:cs="Times New Roman"/>
                <w:sz w:val="24"/>
                <w:szCs w:val="24"/>
                <w:lang w:eastAsia="tr-TR"/>
              </w:rPr>
              <w:br/>
              <w:t>Bu bent uyarınca bir takvim yılı içinde kesilecek toplam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11.700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2.200.000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9</w:t>
            </w:r>
            <w:r w:rsidRPr="00CB0090">
              <w:rPr>
                <w:rFonts w:ascii="Times New Roman" w:eastAsia="Times New Roman" w:hAnsi="Times New Roman" w:cs="Times New Roman"/>
                <w:b/>
                <w:bCs/>
                <w:sz w:val="24"/>
                <w:szCs w:val="24"/>
                <w:lang w:eastAsia="tr-TR"/>
              </w:rPr>
              <w:t>-</w:t>
            </w:r>
            <w:r w:rsidRPr="00CB0090">
              <w:rPr>
                <w:rFonts w:ascii="Times New Roman" w:eastAsia="Times New Roman" w:hAnsi="Times New Roman" w:cs="Times New Roman"/>
                <w:sz w:val="24"/>
                <w:szCs w:val="24"/>
                <w:lang w:eastAsia="tr-TR"/>
              </w:rPr>
              <w:t> 4358 sayılı Kanun uyarınca vergi kimlik numarası kullanma zorunluluğu getirilen kuruluşlardan yaptıkları işlemlere ilişkin bildirimleri, belirlenen standartlarda ve zamanda yerine getirmeyenlere</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15.000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10-127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maddenin (d) bendi uyarınca Maliye Bakanlığının özel işaretli görevlisinin ikazına rağmen durmayan aracın sahibi adına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26.000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11- Tasdik raporu ibraz şartı getirilen mükellef adına</w:t>
            </w:r>
            <w:r w:rsidRPr="00CB0090">
              <w:rPr>
                <w:rFonts w:ascii="Times New Roman" w:eastAsia="Times New Roman" w:hAnsi="Times New Roman" w:cs="Times New Roman"/>
                <w:sz w:val="24"/>
                <w:szCs w:val="24"/>
                <w:lang w:eastAsia="tr-TR"/>
              </w:rPr>
              <w:br/>
              <w:t>Alt Sınır</w:t>
            </w: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sz w:val="24"/>
                <w:szCs w:val="24"/>
                <w:lang w:eastAsia="tr-TR"/>
              </w:rPr>
              <w:br/>
              <w:t>Üst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b/>
                <w:bCs/>
                <w:sz w:val="24"/>
                <w:szCs w:val="24"/>
                <w:lang w:eastAsia="tr-TR"/>
              </w:rPr>
              <w:t>400.000 TL</w:t>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bdr w:val="none" w:sz="0" w:space="0" w:color="auto" w:frame="1"/>
                <w:lang w:eastAsia="tr-TR"/>
              </w:rPr>
              <w:br/>
            </w:r>
            <w:r w:rsidRPr="00CB0090">
              <w:rPr>
                <w:rFonts w:ascii="Times New Roman" w:eastAsia="Times New Roman" w:hAnsi="Times New Roman" w:cs="Times New Roman"/>
                <w:b/>
                <w:bCs/>
                <w:sz w:val="24"/>
                <w:szCs w:val="24"/>
                <w:lang w:eastAsia="tr-TR"/>
              </w:rPr>
              <w:t>4.000.000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br/>
            </w:r>
            <w:r w:rsidRPr="00CB0090">
              <w:rPr>
                <w:rFonts w:ascii="Times New Roman" w:eastAsia="Times New Roman" w:hAnsi="Times New Roman" w:cs="Times New Roman"/>
                <w:b/>
                <w:bCs/>
                <w:sz w:val="24"/>
                <w:szCs w:val="24"/>
                <w:lang w:eastAsia="tr-TR"/>
              </w:rPr>
              <w:t>Damga Vergisinde</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Her bir </w:t>
            </w:r>
            <w:proofErr w:type="gramStart"/>
            <w:r w:rsidRPr="00CB0090">
              <w:rPr>
                <w:rFonts w:ascii="Times New Roman" w:eastAsia="Times New Roman" w:hAnsi="Times New Roman" w:cs="Times New Roman"/>
                <w:sz w:val="24"/>
                <w:szCs w:val="24"/>
                <w:lang w:eastAsia="tr-TR"/>
              </w:rPr>
              <w:t>kağıt</w:t>
            </w:r>
            <w:proofErr w:type="gramEnd"/>
            <w:r w:rsidRPr="00CB0090">
              <w:rPr>
                <w:rFonts w:ascii="Times New Roman" w:eastAsia="Times New Roman" w:hAnsi="Times New Roman" w:cs="Times New Roman"/>
                <w:sz w:val="24"/>
                <w:szCs w:val="24"/>
                <w:lang w:eastAsia="tr-TR"/>
              </w:rPr>
              <w:t xml:space="preserve"> için kesilecek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70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xml:space="preserve">Bilgi vermekten çekinenler ile 107/A, 152/A, 153/A, mükerrer 242,256, 257, mükerrer 257 </w:t>
            </w:r>
            <w:proofErr w:type="spellStart"/>
            <w:r w:rsidRPr="00CB0090">
              <w:rPr>
                <w:rFonts w:ascii="Times New Roman" w:eastAsia="Times New Roman" w:hAnsi="Times New Roman" w:cs="Times New Roman"/>
                <w:b/>
                <w:bCs/>
                <w:sz w:val="24"/>
                <w:szCs w:val="24"/>
                <w:lang w:eastAsia="tr-TR"/>
              </w:rPr>
              <w:t>nci</w:t>
            </w:r>
            <w:proofErr w:type="spellEnd"/>
            <w:r w:rsidRPr="00CB0090">
              <w:rPr>
                <w:rFonts w:ascii="Times New Roman" w:eastAsia="Times New Roman" w:hAnsi="Times New Roman" w:cs="Times New Roman"/>
                <w:b/>
                <w:bCs/>
                <w:sz w:val="24"/>
                <w:szCs w:val="24"/>
                <w:lang w:eastAsia="tr-TR"/>
              </w:rPr>
              <w:t xml:space="preserve"> madde ve Gelir Vergisi Kanununun 98/A maddesi hükmüne uymayanlar için ceza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- 86, 148, 149, 150, mükerrer 242, 256 ve 257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maddelerde yer alan zorunluluklar ile mükerrer 257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maddesi ve Gelir Vergisi Kanununun 98/A maddesi uyarınca getirilen zorunluluklara uymayanlar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 Birinci sınıf tüccarlar ile serbest meslek erbabı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İkinci sınıf tüccarlar, defter tutan çiftçiler ile kazancı basit usulde tespit edilenler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17.000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3- Yukarıdaki bentlerde yazılı bulunanlar dışında kalanlar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8.700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107/A maddesi uyarınca getirilen zorunluluklara uymayanlar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1- Birinci sınıf tüccarlar ile serbest meslek erbabı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 12.000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2- İkinci sınıf tüccarlar, defter tutan çiftçiler ile kazancı basit usulde tespit edilenler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6.000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3- Yukarıdaki bentlerde yazılı bulunanlar dışında kalanlar hakkında</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Mükerrer 257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maddenin birinci fıkrasının (7) numaralı bendi uyarınca getirilen zorunluluklara uymayanlara her bir bildirim için (üst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17.000.000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30" w:lineRule="atLeast"/>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lastRenderedPageBreak/>
              <w:t xml:space="preserve">Mükerrer 257 </w:t>
            </w:r>
            <w:proofErr w:type="spellStart"/>
            <w:r w:rsidRPr="00CB0090">
              <w:rPr>
                <w:rFonts w:ascii="Times New Roman" w:eastAsia="Times New Roman" w:hAnsi="Times New Roman" w:cs="Times New Roman"/>
                <w:sz w:val="24"/>
                <w:szCs w:val="24"/>
                <w:lang w:eastAsia="tr-TR"/>
              </w:rPr>
              <w:t>nci</w:t>
            </w:r>
            <w:proofErr w:type="spellEnd"/>
            <w:r w:rsidRPr="00CB0090">
              <w:rPr>
                <w:rFonts w:ascii="Times New Roman" w:eastAsia="Times New Roman" w:hAnsi="Times New Roman" w:cs="Times New Roman"/>
                <w:sz w:val="24"/>
                <w:szCs w:val="24"/>
                <w:lang w:eastAsia="tr-TR"/>
              </w:rPr>
              <w:t xml:space="preserve"> maddenin birinci fıkrasının (8) ve (10) numaralı bentleri uyarınca getirilen zorunluluklara uymayanlara (üst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30" w:lineRule="atLeast"/>
              <w:jc w:val="center"/>
              <w:textAlignment w:val="baseline"/>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17.000.000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proofErr w:type="gramStart"/>
            <w:r w:rsidRPr="00CB0090">
              <w:rPr>
                <w:rFonts w:ascii="Times New Roman" w:eastAsia="Times New Roman" w:hAnsi="Times New Roman" w:cs="Times New Roman"/>
                <w:sz w:val="24"/>
                <w:szCs w:val="24"/>
                <w:lang w:eastAsia="tr-TR"/>
              </w:rPr>
              <w:t>Tahsilat</w:t>
            </w:r>
            <w:proofErr w:type="gramEnd"/>
            <w:r w:rsidRPr="00CB0090">
              <w:rPr>
                <w:rFonts w:ascii="Times New Roman" w:eastAsia="Times New Roman" w:hAnsi="Times New Roman" w:cs="Times New Roman"/>
                <w:sz w:val="24"/>
                <w:szCs w:val="24"/>
                <w:lang w:eastAsia="tr-TR"/>
              </w:rPr>
              <w:t xml:space="preserve"> ve ödemelerini banka, benzeri finans kurumları veya posta idarelerince düzenlenen belgelerle tevsik etme zorunluluğuna uymayanlara bir takvim yılı içinde kesilecek toplam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Mal teslimi veya hizmet ifalarına ilişkin </w:t>
            </w:r>
            <w:proofErr w:type="gramStart"/>
            <w:r w:rsidRPr="00CB0090">
              <w:rPr>
                <w:rFonts w:ascii="Times New Roman" w:eastAsia="Times New Roman" w:hAnsi="Times New Roman" w:cs="Times New Roman"/>
                <w:sz w:val="24"/>
                <w:szCs w:val="24"/>
                <w:lang w:eastAsia="tr-TR"/>
              </w:rPr>
              <w:t>tahsilatların</w:t>
            </w:r>
            <w:proofErr w:type="gramEnd"/>
            <w:r w:rsidRPr="00CB0090">
              <w:rPr>
                <w:rFonts w:ascii="Times New Roman" w:eastAsia="Times New Roman" w:hAnsi="Times New Roman" w:cs="Times New Roman"/>
                <w:sz w:val="24"/>
                <w:szCs w:val="24"/>
                <w:lang w:eastAsia="tr-TR"/>
              </w:rPr>
              <w:t>, banka ve benzeri finans kuramları, ödeme kuruluşları veya Posta ve Telgraf Teşkilatı Anonim Şirketi aracılığıyla başkalarının adı ve/veya hesabı kullanılarak yapılması durumunda, bir takvim yılı içinde kesilecek toplam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Kredi kartı, banka kartı, ön ödemeli kart, </w:t>
            </w:r>
            <w:proofErr w:type="spellStart"/>
            <w:r w:rsidRPr="00CB0090">
              <w:rPr>
                <w:rFonts w:ascii="Times New Roman" w:eastAsia="Times New Roman" w:hAnsi="Times New Roman" w:cs="Times New Roman"/>
                <w:sz w:val="24"/>
                <w:szCs w:val="24"/>
                <w:lang w:eastAsia="tr-TR"/>
              </w:rPr>
              <w:t>karekod</w:t>
            </w:r>
            <w:proofErr w:type="spellEnd"/>
            <w:r w:rsidRPr="00CB0090">
              <w:rPr>
                <w:rFonts w:ascii="Times New Roman" w:eastAsia="Times New Roman" w:hAnsi="Times New Roman" w:cs="Times New Roman"/>
                <w:sz w:val="24"/>
                <w:szCs w:val="24"/>
                <w:lang w:eastAsia="tr-TR"/>
              </w:rPr>
              <w:t xml:space="preserve">, elektronik cüzdan ve benzeri ödeme araçları kullanılmak suretiyle gerçekleştirilen </w:t>
            </w:r>
            <w:proofErr w:type="gramStart"/>
            <w:r w:rsidRPr="00CB0090">
              <w:rPr>
                <w:rFonts w:ascii="Times New Roman" w:eastAsia="Times New Roman" w:hAnsi="Times New Roman" w:cs="Times New Roman"/>
                <w:sz w:val="24"/>
                <w:szCs w:val="24"/>
                <w:lang w:eastAsia="tr-TR"/>
              </w:rPr>
              <w:t>tahsilatların</w:t>
            </w:r>
            <w:proofErr w:type="gramEnd"/>
            <w:r w:rsidRPr="00CB0090">
              <w:rPr>
                <w:rFonts w:ascii="Times New Roman" w:eastAsia="Times New Roman" w:hAnsi="Times New Roman" w:cs="Times New Roman"/>
                <w:sz w:val="24"/>
                <w:szCs w:val="24"/>
                <w:lang w:eastAsia="tr-TR"/>
              </w:rPr>
              <w:t>, kendi mükellefiyeti adına kayıtlı olmayan ödeme sistemleri veya cihazları aracılığıyla yapılması durumunda bir takvim yılı içinde kesilecek toplam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Maddenin </w:t>
            </w:r>
            <w:proofErr w:type="spellStart"/>
            <w:r w:rsidRPr="00CB0090">
              <w:rPr>
                <w:rFonts w:ascii="Times New Roman" w:eastAsia="Times New Roman" w:hAnsi="Times New Roman" w:cs="Times New Roman"/>
                <w:sz w:val="24"/>
                <w:szCs w:val="24"/>
                <w:lang w:eastAsia="tr-TR"/>
              </w:rPr>
              <w:t>onıkıncı</w:t>
            </w:r>
            <w:proofErr w:type="spellEnd"/>
            <w:r w:rsidRPr="00CB0090">
              <w:rPr>
                <w:rFonts w:ascii="Times New Roman" w:eastAsia="Times New Roman" w:hAnsi="Times New Roman" w:cs="Times New Roman"/>
                <w:sz w:val="24"/>
                <w:szCs w:val="24"/>
                <w:lang w:eastAsia="tr-TR"/>
              </w:rPr>
              <w:t xml:space="preserve"> fıkrası uyarınca bir takvim yılı içinde kesilecek özel usulsüzlük cezası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35.000.000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İzaha davet</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Kullanılan sahte veya muhteviyatı itibarıyla yanıltıcı belge tutarı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870.000 TL</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Uzlaşma limitleri</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Tarhiyat sonrası uzlaşmaya konu edilebilecek usulsüzlük ve özel usulsüzlük cezalarında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40.000 TL üzeri</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xml:space="preserve">376 </w:t>
            </w:r>
            <w:proofErr w:type="spellStart"/>
            <w:r w:rsidRPr="00CB0090">
              <w:rPr>
                <w:rFonts w:ascii="Times New Roman" w:eastAsia="Times New Roman" w:hAnsi="Times New Roman" w:cs="Times New Roman"/>
                <w:sz w:val="24"/>
                <w:szCs w:val="24"/>
                <w:lang w:eastAsia="tr-TR"/>
              </w:rPr>
              <w:t>ncı</w:t>
            </w:r>
            <w:proofErr w:type="spellEnd"/>
            <w:r w:rsidRPr="00CB0090">
              <w:rPr>
                <w:rFonts w:ascii="Times New Roman" w:eastAsia="Times New Roman" w:hAnsi="Times New Roman" w:cs="Times New Roman"/>
                <w:sz w:val="24"/>
                <w:szCs w:val="24"/>
                <w:lang w:eastAsia="tr-TR"/>
              </w:rPr>
              <w:t xml:space="preserve"> maddedeki indirim oranının %50 artırımlı uygulanacağı usulsüzlük ve özel usulsüzlük cezalarında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40.000 TL ve altı</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Tarhiyat öncesi uzlaşma limiti</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 </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Tarhiyat öncesi uzlaşmaya konu edilebilecek usulsüzlük ve özel usulsüzlük cezalarında sınır</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40.000 TL üzeri</w:t>
            </w:r>
          </w:p>
        </w:tc>
      </w:tr>
      <w:tr w:rsidR="00CB0090" w:rsidRPr="00CB0090" w:rsidTr="00CB0090">
        <w:tc>
          <w:tcPr>
            <w:tcW w:w="0" w:type="auto"/>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center"/>
            <w:hideMark/>
          </w:tcPr>
          <w:p w:rsidR="00CB0090" w:rsidRPr="00CB0090" w:rsidRDefault="00CB0090" w:rsidP="00CB0090">
            <w:pPr>
              <w:spacing w:after="0" w:line="300" w:lineRule="atLeast"/>
              <w:rPr>
                <w:rFonts w:ascii="Times New Roman" w:eastAsia="Times New Roman" w:hAnsi="Times New Roman" w:cs="Times New Roman"/>
                <w:sz w:val="24"/>
                <w:szCs w:val="24"/>
                <w:lang w:eastAsia="tr-TR"/>
              </w:rPr>
            </w:pPr>
            <w:r w:rsidRPr="00CB0090">
              <w:rPr>
                <w:rFonts w:ascii="Times New Roman" w:eastAsia="Times New Roman" w:hAnsi="Times New Roman" w:cs="Times New Roman"/>
                <w:sz w:val="24"/>
                <w:szCs w:val="24"/>
                <w:lang w:eastAsia="tr-TR"/>
              </w:rPr>
              <w:t>Katılma payı tutarı</w:t>
            </w:r>
          </w:p>
        </w:tc>
        <w:tc>
          <w:tcPr>
            <w:tcW w:w="0" w:type="auto"/>
            <w:tcBorders>
              <w:top w:val="nil"/>
              <w:left w:val="nil"/>
              <w:bottom w:val="nil"/>
              <w:right w:val="nil"/>
            </w:tcBorders>
            <w:tcMar>
              <w:top w:w="135" w:type="dxa"/>
              <w:left w:w="135" w:type="dxa"/>
              <w:bottom w:w="135" w:type="dxa"/>
              <w:right w:w="135" w:type="dxa"/>
            </w:tcMar>
            <w:vAlign w:val="center"/>
            <w:hideMark/>
          </w:tcPr>
          <w:p w:rsidR="00CB0090" w:rsidRPr="00CB0090" w:rsidRDefault="00CB0090" w:rsidP="00CB0090">
            <w:pPr>
              <w:spacing w:after="0" w:line="300" w:lineRule="atLeast"/>
              <w:jc w:val="center"/>
              <w:rPr>
                <w:rFonts w:ascii="Times New Roman" w:eastAsia="Times New Roman" w:hAnsi="Times New Roman" w:cs="Times New Roman"/>
                <w:sz w:val="24"/>
                <w:szCs w:val="24"/>
                <w:lang w:eastAsia="tr-TR"/>
              </w:rPr>
            </w:pPr>
            <w:r w:rsidRPr="00CB0090">
              <w:rPr>
                <w:rFonts w:ascii="Times New Roman" w:eastAsia="Times New Roman" w:hAnsi="Times New Roman" w:cs="Times New Roman"/>
                <w:b/>
                <w:bCs/>
                <w:sz w:val="24"/>
                <w:szCs w:val="24"/>
                <w:lang w:eastAsia="tr-TR"/>
              </w:rPr>
              <w:t>0,43</w:t>
            </w:r>
          </w:p>
        </w:tc>
      </w:tr>
    </w:tbl>
    <w:p w:rsidR="0038646B" w:rsidRDefault="0038646B" w:rsidP="00CB0090">
      <w:pPr>
        <w:ind w:left="-142"/>
      </w:pPr>
    </w:p>
    <w:sectPr w:rsidR="0038646B" w:rsidSect="00CB0090">
      <w:pgSz w:w="11906" w:h="16838"/>
      <w:pgMar w:top="426" w:right="566"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0090"/>
    <w:rsid w:val="0038646B"/>
    <w:rsid w:val="00CB00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6B"/>
  </w:style>
  <w:style w:type="paragraph" w:styleId="Balk1">
    <w:name w:val="heading 1"/>
    <w:basedOn w:val="Normal"/>
    <w:link w:val="Balk1Char"/>
    <w:uiPriority w:val="9"/>
    <w:qFormat/>
    <w:rsid w:val="00CB0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009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009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009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B0090"/>
    <w:rPr>
      <w:color w:val="0000FF"/>
      <w:u w:val="single"/>
    </w:rPr>
  </w:style>
  <w:style w:type="paragraph" w:styleId="NormalWeb">
    <w:name w:val="Normal (Web)"/>
    <w:basedOn w:val="Normal"/>
    <w:uiPriority w:val="99"/>
    <w:unhideWhenUsed/>
    <w:rsid w:val="00CB00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090"/>
    <w:rPr>
      <w:b/>
      <w:bCs/>
    </w:rPr>
  </w:style>
  <w:style w:type="paragraph" w:styleId="BalonMetni">
    <w:name w:val="Balloon Text"/>
    <w:basedOn w:val="Normal"/>
    <w:link w:val="BalonMetniChar"/>
    <w:uiPriority w:val="99"/>
    <w:semiHidden/>
    <w:unhideWhenUsed/>
    <w:rsid w:val="00CB00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0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8444429">
      <w:bodyDiv w:val="1"/>
      <w:marLeft w:val="0"/>
      <w:marRight w:val="0"/>
      <w:marTop w:val="0"/>
      <w:marBottom w:val="0"/>
      <w:divBdr>
        <w:top w:val="none" w:sz="0" w:space="0" w:color="auto"/>
        <w:left w:val="none" w:sz="0" w:space="0" w:color="auto"/>
        <w:bottom w:val="none" w:sz="0" w:space="0" w:color="auto"/>
        <w:right w:val="none" w:sz="0" w:space="0" w:color="auto"/>
      </w:divBdr>
      <w:divsChild>
        <w:div w:id="379979291">
          <w:marLeft w:val="0"/>
          <w:marRight w:val="0"/>
          <w:marTop w:val="0"/>
          <w:marBottom w:val="0"/>
          <w:divBdr>
            <w:top w:val="none" w:sz="0" w:space="5" w:color="auto"/>
            <w:left w:val="none" w:sz="0" w:space="8" w:color="auto"/>
            <w:bottom w:val="single" w:sz="6" w:space="5" w:color="B7C6E8"/>
            <w:right w:val="none" w:sz="0" w:space="8" w:color="auto"/>
          </w:divBdr>
        </w:div>
        <w:div w:id="886530613">
          <w:marLeft w:val="0"/>
          <w:marRight w:val="0"/>
          <w:marTop w:val="0"/>
          <w:marBottom w:val="0"/>
          <w:divBdr>
            <w:top w:val="none" w:sz="0" w:space="0" w:color="auto"/>
            <w:left w:val="none" w:sz="0" w:space="0" w:color="auto"/>
            <w:bottom w:val="none" w:sz="0" w:space="0" w:color="auto"/>
            <w:right w:val="none" w:sz="0" w:space="0" w:color="auto"/>
          </w:divBdr>
          <w:divsChild>
            <w:div w:id="1618491357">
              <w:marLeft w:val="0"/>
              <w:marRight w:val="150"/>
              <w:marTop w:val="0"/>
              <w:marBottom w:val="150"/>
              <w:divBdr>
                <w:top w:val="none" w:sz="0" w:space="0" w:color="auto"/>
                <w:left w:val="none" w:sz="0" w:space="0" w:color="auto"/>
                <w:bottom w:val="none" w:sz="0" w:space="0" w:color="auto"/>
                <w:right w:val="none" w:sz="0" w:space="0" w:color="auto"/>
              </w:divBdr>
              <w:divsChild>
                <w:div w:id="8587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uhasebetr.com/usulsuzluk-ve-ozel-usulsuzluk-cezalari/" TargetMode="External"/><Relationship Id="rId4" Type="http://schemas.openxmlformats.org/officeDocument/2006/relationships/hyperlink" Target="https://www.muhasebetr.com/usulsuzluk-ve-ozel-usulsuzluk-ceza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2026-02-11T09:09:00Z</dcterms:created>
  <dcterms:modified xsi:type="dcterms:W3CDTF">2026-02-11T09:11:00Z</dcterms:modified>
</cp:coreProperties>
</file>